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</w:pPr>
      <w:r>
        <w:t xml:space="preserve">Nonprofit AI Use Policy — Board Brief</w:t>
      </w:r>
    </w:p>
    <w:p>
      <w:pPr>
        <w:spacing w:after="120" w:before="0"/>
      </w:pPr>
      <w:r>
        <w:rPr>
          <w:b/>
          <w:bCs/>
        </w:rPr>
        <w:t xml:space="preserve">Purpose. </w:t>
      </w:r>
      <w:r>
        <w:t xml:space="preserve">Establish a clear, defensible posture on how this organization uses artificial intelligence tools, protecting participants, complying with funder and regulatory requirements, and giving staff a workable framework. This brief is the board-facing summary. A companion Staff Handbook governs day-to-day operations.</w:t>
      </w:r>
    </w:p>
    <w:p>
      <w:pPr>
        <w:pStyle w:val="Heading2"/>
        <w:spacing w:after="120" w:before="240"/>
      </w:pPr>
      <w:r>
        <w:t xml:space="preserve">The Three-Tier Approach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0"/>
        <w:gridCol w:w="3780"/>
        <w:gridCol w:w="3780"/>
      </w:tblGrid>
      <w:tr>
        <w:trPr>
          <w:tblHeader/>
        </w:trPr>
        <w:tc>
          <w:tcPr>
            <w:tcW w:type="dxa" w:w="180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E8E0D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Tier</w:t>
            </w:r>
          </w:p>
        </w:tc>
        <w:tc>
          <w:tcPr>
            <w:tcW w:type="dxa" w:w="378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E8E0D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What</w:t>
            </w:r>
          </w:p>
        </w:tc>
        <w:tc>
          <w:tcPr>
            <w:tcW w:type="dxa" w:w="378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E8E0D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Examples</w:t>
            </w:r>
          </w:p>
        </w:tc>
      </w:tr>
      <w:tr>
        <w:tc>
          <w:tcPr>
            <w:tcW w:type="dxa" w:w="180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Permitted</w:t>
            </w:r>
          </w:p>
        </w:tc>
        <w:tc>
          <w:tcPr>
            <w:tcW w:type="dxa" w:w="378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 w:val="false"/>
                <w:bCs w:val="false"/>
              </w:rPr>
              <w:t xml:space="preserve">Uses approved without prior review. Low risk to participants, no sensitive data, public outputs.</w:t>
            </w:r>
          </w:p>
        </w:tc>
        <w:tc>
          <w:tcPr>
            <w:tcW w:type="dxa" w:w="378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 w:val="false"/>
                <w:bCs w:val="false"/>
              </w:rPr>
              <w:t xml:space="preserve">Drafting public communications, summarizing public meeting notes, brainstorming program names, formatting reports.</w:t>
            </w:r>
          </w:p>
        </w:tc>
      </w:tr>
      <w:tr>
        <w:tc>
          <w:tcPr>
            <w:tcW w:type="dxa" w:w="180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Restricted</w:t>
            </w:r>
          </w:p>
        </w:tc>
        <w:tc>
          <w:tcPr>
            <w:tcW w:type="dxa" w:w="378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 w:val="false"/>
                <w:bCs w:val="false"/>
              </w:rPr>
              <w:t xml:space="preserve">Uses allowed only with documented approval, named-tool list, and a defined review step.</w:t>
            </w:r>
          </w:p>
        </w:tc>
        <w:tc>
          <w:tcPr>
            <w:tcW w:type="dxa" w:w="378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 w:val="false"/>
                <w:bCs w:val="false"/>
              </w:rPr>
              <w:t xml:space="preserve">Drafting grant narratives, summarizing internal documents, screening anonymized data, generating case-management language.</w:t>
            </w:r>
          </w:p>
        </w:tc>
      </w:tr>
      <w:tr>
        <w:tc>
          <w:tcPr>
            <w:tcW w:type="dxa" w:w="180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/>
                <w:bCs/>
              </w:rPr>
              <w:t xml:space="preserve">Prohibited</w:t>
            </w:r>
          </w:p>
        </w:tc>
        <w:tc>
          <w:tcPr>
            <w:tcW w:type="dxa" w:w="378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 w:val="false"/>
                <w:bCs w:val="false"/>
              </w:rPr>
              <w:t xml:space="preserve">Uses not allowed under any circumstance without a board-approved exception.</w:t>
            </w:r>
          </w:p>
        </w:tc>
        <w:tc>
          <w:tcPr>
            <w:tcW w:type="dxa" w:w="378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b w:val="false"/>
                <w:bCs w:val="false"/>
              </w:rPr>
              <w:t xml:space="preserve">Entering participant PII into public tools, automated eligibility decisions, generating final case notes without staff review, training external models on participant data.</w:t>
            </w:r>
          </w:p>
        </w:tc>
      </w:tr>
    </w:tbl>
    <w:p>
      <w:pPr>
        <w:spacing w:after="120" w:before="0"/>
      </w:pPr>
      <w:r>
        <w:rPr>
          <w:b/>
          <w:bCs/>
        </w:rPr>
        <w:t xml:space="preserve">Why three tiers. </w:t>
      </w:r>
      <w:r>
        <w:t xml:space="preserve">A binary allow/disallow rule pushes staff to either ignore AI entirely or use it without guardrails. Three tiers give clear permission for low-risk work, a documented review path for higher-risk work, and unambiguous lines on what is never acceptable.</w:t>
      </w:r>
    </w:p>
    <w:p>
      <w:pPr>
        <w:pStyle w:val="Heading2"/>
        <w:spacing w:after="120" w:before="240"/>
      </w:pPr>
      <w:r>
        <w:t xml:space="preserve">Prohibited Uses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Entering participant personally identifiable information (PII) into any public or consumer AI tool.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Automated eligibility, benefit, or service-denial decisions without human review and a documented appeal path.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Generating final case notes, assessments, or service plans without staff review and sign-off.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Using participant data to train, fine-tune, or evaluate external AI models.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Representing AI-generated content as human-authored in funder reports, evaluations, or public communications.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Any AI use that conflicts with a funder's terms, a data-sharing agreement, or applicable law.</w:t>
      </w:r>
    </w:p>
    <w:p>
      <w:pPr>
        <w:pStyle w:val="Heading2"/>
        <w:spacing w:after="120" w:before="240"/>
      </w:pPr>
      <w:r>
        <w:t xml:space="preserve">Adoption Resolution</w:t>
      </w:r>
    </w:p>
    <w:p>
      <w:pPr>
        <w:spacing w:after="120" w:before="0"/>
      </w:pPr>
      <w:r>
        <w:rPr>
          <w:b/>
          <w:bCs/>
        </w:rPr>
        <w:t xml:space="preserve">RESOLVED, </w:t>
      </w:r>
      <w:r>
        <w:t xml:space="preserve">that the Board of Directors of [Organization Name] adopts the Nonprofit AI Use Policy as the governing framework for the organization's use of artificial intelligence tools across all programs and operations; that the Executive Director is authorized to publish the companion Staff Handbook implementing this policy; that this policy shall be reviewed by the Board no less than annually; and that any material change to the three-tier framework or the Prohibited Uses list requires Board approval.</w:t>
      </w:r>
    </w:p>
    <w:p>
      <w:pPr>
        <w:spacing w:after="120" w:before="0"/>
      </w:pPr>
      <w:r>
        <w:rPr>
          <w:i/>
          <w:iCs/>
        </w:rPr>
        <w:t xml:space="preserve">Adopted: ____________________  </w:t>
      </w:r>
      <w:r>
        <w:rPr>
          <w:i/>
          <w:iCs/>
        </w:rPr>
        <w:t xml:space="preserve">Signature (Board Chair): ____________________</w:t>
      </w:r>
    </w:p>
    <w:sectPr>
      <w:headerReference w:type="default" r:id="rId7"/>
      <w:footerReference w:type="default" r:id="rId8"/>
      <w:pgSz w:w="12240" w:h="15840" w:orient="portrait"/>
      <w:pgMar w:top="720" w:right="1080" w:bottom="72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color w:val="888888"/>
        <w:sz w:val="16"/>
        <w:szCs w:val="16"/>
      </w:rPr>
      <w:t xml:space="preserve">Free template from </w:t>
    </w:r>
    <w:hyperlink w:history="1" r:id="rId2faqtecggkljptxlkotdt">
      <w:r>
        <w:rPr>
          <w:color w:val="2D5F4F"/>
          <w:sz w:val="16"/>
          <w:szCs w:val="16"/>
          <w:u w:val="single"/>
        </w:rPr>
        <w:t xml:space="preserve">strategicalai.org</w:t>
      </w:r>
    </w:hyperlink>
    <w:r>
      <w:rPr>
        <w:color w:val="888888"/>
        <w:sz w:val="16"/>
        <w:szCs w:val="16"/>
      </w:rPr>
      <w:t xml:space="preserve">  ·  Editable. Attribution appreciated, not required.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color w:val="888888"/>
        <w:sz w:val="16"/>
        <w:szCs w:val="16"/>
      </w:rPr>
      <w:t xml:space="preserve">Strategical AI — Nonprofit AI Use Policy: Board Brief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4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20" w:before="0"/>
      <w:outlineLvl w:val="0"/>
    </w:pPr>
    <w:rPr>
      <w:rFonts w:ascii="Arial" w:cs="Arial" w:eastAsia="Arial" w:hAnsi="Arial"/>
      <w:b/>
      <w:bCs/>
      <w:color w:val="1A1F2E"/>
      <w:sz w:val="28"/>
      <w:szCs w:val="28"/>
    </w:rPr>
  </w:style>
  <w:style w:type="paragraph" w:styleId="Heading2">
    <w:name w:val="Heading 2"/>
    <w:basedOn w:val="Normal"/>
    <w:next w:val="Normal"/>
    <w:qFormat/>
    <w:pPr>
      <w:spacing w:after="80" w:before="200"/>
      <w:outlineLvl w:val="1"/>
    </w:pPr>
    <w:rPr>
      <w:rFonts w:ascii="Arial" w:cs="Arial" w:eastAsia="Arial" w:hAnsi="Arial"/>
      <w:b/>
      <w:bCs/>
      <w:color w:val="2D5F4F"/>
      <w:sz w:val="22"/>
      <w:szCs w:val="22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><Relationship Id="rId2faqtecggkljptxlkotdt" Type="http://schemas.openxmlformats.org/officeDocument/2006/relationships/hyperlink" Target="https://strategicalai.org" TargetMode="External"/></Relationships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Nonprofit AI Use Policy: Board Brief</dc:title>
  <dc:creator>Strategical AI</dc:creator>
  <dc:description>One-page board-facing AI Use Policy template for nonprofits and workforce programs.</dc:description>
  <cp:lastModifiedBy>Un-named</cp:lastModifiedBy>
  <cp:revision>1</cp:revision>
  <dcterms:created xsi:type="dcterms:W3CDTF">2026-05-16T04:10:48.154Z</dcterms:created>
  <dcterms:modified xsi:type="dcterms:W3CDTF">2026-05-16T04:10:48.155Z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