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 w:before="2400"/>
        <w:jc w:val="center"/>
      </w:pPr>
      <w:r>
        <w:rPr>
          <w:b/>
          <w:bCs/>
          <w:color w:val="1A1F2E"/>
          <w:sz w:val="48"/>
          <w:szCs w:val="48"/>
        </w:rPr>
        <w:t xml:space="preserve">Nonprofit AI Use Policy</w:t>
      </w:r>
    </w:p>
    <w:p>
      <w:pPr>
        <w:spacing w:after="600"/>
        <w:jc w:val="center"/>
      </w:pPr>
      <w:r>
        <w:rPr>
          <w:color w:val="2D5F4F"/>
          <w:sz w:val="36"/>
          <w:szCs w:val="36"/>
        </w:rPr>
        <w:t xml:space="preserve">Staff Handbook</w:t>
      </w:r>
    </w:p>
    <w:p>
      <w:pPr>
        <w:spacing w:after="200"/>
        <w:jc w:val="center"/>
      </w:pPr>
      <w:r>
        <w:rPr>
          <w:i/>
          <w:iCs/>
          <w:sz w:val="22"/>
          <w:szCs w:val="22"/>
        </w:rPr>
        <w:t xml:space="preserve">An operational template for nonprofits and workforce programs adopting artificial intelligence tools responsibly.</w:t>
      </w:r>
    </w:p>
    <w:p>
      <w:pPr>
        <w:spacing w:after="120" w:before="2400"/>
        <w:jc w:val="center"/>
      </w:pPr>
      <w:r>
        <w:rPr>
          <w:b/>
          <w:bCs/>
          <w:sz w:val="26"/>
          <w:szCs w:val="26"/>
        </w:rPr>
        <w:t xml:space="preserve">[Organization Name]</w:t>
      </w:r>
    </w:p>
    <w:p>
      <w:pPr>
        <w:spacing w:after="120"/>
        <w:jc w:val="center"/>
      </w:pPr>
      <w:r>
        <w:rPr>
          <w:sz w:val="22"/>
          <w:szCs w:val="22"/>
        </w:rPr>
        <w:t xml:space="preserve">Adopted: ____________________</w:t>
      </w:r>
    </w:p>
    <w:p>
      <w:pPr>
        <w:spacing w:after="120"/>
        <w:jc w:val="center"/>
      </w:pPr>
      <w:r>
        <w:rPr>
          <w:sz w:val="22"/>
          <w:szCs w:val="22"/>
        </w:rPr>
        <w:t xml:space="preserve">Version: 1.0   |   Next review: ____________________</w:t>
      </w:r>
    </w:p>
    <w:p>
      <w:r>
        <w:br w:type="page"/>
      </w:r>
    </w:p>
    <w:p>
      <w:pPr>
        <w:pStyle w:val="Heading1"/>
      </w:pPr>
      <w:r>
        <w:t xml:space="preserve">1. Purpose and Scope</w:t>
      </w:r>
    </w:p>
    <w:p>
      <w:pPr>
        <w:pStyle w:val="Heading2"/>
      </w:pPr>
      <w:r>
        <w:t xml:space="preserve">Purpose</w:t>
      </w:r>
    </w:p>
    <w:p>
      <w:pPr>
        <w:spacing w:after="140" w:before="0"/>
      </w:pPr>
      <w:r>
        <w:rPr>
          <w:b w:val="false"/>
          <w:bCs w:val="false"/>
          <w:i w:val="false"/>
          <w:iCs w:val="false"/>
        </w:rPr>
        <w:t xml:space="preserve">This handbook governs how [Organization Name] uses artificial intelligence (AI) tools in its programs, operations, and external communications. It exists to:</w:t>
      </w:r>
    </w:p>
    <w:p>
      <w:pPr>
        <w:pStyle w:val="ListParagraph"/>
        <w:numPr>
          <w:ilvl w:val="0"/>
          <w:numId w:val="2"/>
        </w:numPr>
        <w:spacing w:after="80"/>
      </w:pPr>
      <w:r>
        <w:t xml:space="preserve">Protect the participants we serve from harms that can arise from automated or AI-assisted decisions.</w:t>
      </w:r>
    </w:p>
    <w:p>
      <w:pPr>
        <w:pStyle w:val="ListParagraph"/>
        <w:numPr>
          <w:ilvl w:val="0"/>
          <w:numId w:val="2"/>
        </w:numPr>
        <w:spacing w:after="80"/>
      </w:pPr>
      <w:r>
        <w:t xml:space="preserve">Comply with funder requirements, data-sharing agreements, and applicable law including the Health Insurance Portability and Accountability Act (HIPAA) where applicable, the Family Educational Rights and Privacy Act (FERPA) where applicable, and federal grant terms under 2 CFR 200 (Uniform Guidance) where applicable.</w:t>
      </w:r>
    </w:p>
    <w:p>
      <w:pPr>
        <w:pStyle w:val="ListParagraph"/>
        <w:numPr>
          <w:ilvl w:val="0"/>
          <w:numId w:val="2"/>
        </w:numPr>
        <w:spacing w:after="80"/>
      </w:pPr>
      <w:r>
        <w:t xml:space="preserve">Give staff a clear, workable framework so AI can be used where it genuinely helps and avoided where it does not.</w:t>
      </w:r>
    </w:p>
    <w:p>
      <w:pPr>
        <w:pStyle w:val="ListParagraph"/>
        <w:numPr>
          <w:ilvl w:val="0"/>
          <w:numId w:val="2"/>
        </w:numPr>
        <w:spacing w:after="80"/>
      </w:pPr>
      <w:r>
        <w:t xml:space="preserve">Establish a transparent record of the organization's AI posture for funders, auditors, partners, and the board.</w:t>
      </w:r>
    </w:p>
    <w:p>
      <w:pPr>
        <w:pStyle w:val="Heading2"/>
      </w:pPr>
      <w:r>
        <w:t xml:space="preserve">Scope</w:t>
      </w:r>
    </w:p>
    <w:p>
      <w:pPr>
        <w:spacing w:after="140" w:before="0"/>
      </w:pPr>
      <w:r>
        <w:rPr>
          <w:b w:val="false"/>
          <w:bCs w:val="false"/>
          <w:i w:val="false"/>
          <w:iCs w:val="false"/>
        </w:rPr>
        <w:t xml:space="preserve">This handbook applies to all employees, contractors, interns, volunteers, and any other personnel acting on behalf of [Organization Name], in any role that involves creating, reviewing, transmitting, or making decisions about organizational content or participant information.</w:t>
      </w:r>
    </w:p>
    <w:p>
      <w:pPr>
        <w:spacing w:after="140" w:before="0"/>
      </w:pPr>
      <w:r>
        <w:rPr>
          <w:b/>
          <w:bCs/>
        </w:rPr>
        <w:t xml:space="preserve">Tools covered. </w:t>
      </w:r>
      <w:r>
        <w:t xml:space="preserve">This handbook applies to all AI tools, including general-purpose assistants (e.g., ChatGPT, Claude, Gemini, Copilot), AI features embedded in software the organization already uses (e.g., AI summarization in Microsoft 365, Google Workspace, Zoom, customer-relationship-management platforms), AI features in case-management or program-management systems, and any future tools that the organization adopts.</w:t>
      </w:r>
    </w:p>
    <w:p>
      <w:pPr>
        <w:spacing w:after="140" w:before="0"/>
      </w:pPr>
      <w:r>
        <w:rPr>
          <w:b/>
          <w:bCs/>
        </w:rPr>
        <w:t xml:space="preserve">Relationship to other policies. </w:t>
      </w:r>
      <w:r>
        <w:t xml:space="preserve">This handbook complements and does not replace the organization's existing data privacy, acceptable use, code of conduct, and confidentiality policies. Where this handbook is silent, those policies govern. Where this handbook is more restrictive, this handbook governs.</w:t>
      </w:r>
    </w:p>
    <w:p>
      <w:pPr>
        <w:pStyle w:val="Heading1"/>
      </w:pPr>
      <w:r>
        <w:t xml:space="preserve">2. Definitions</w:t>
      </w:r>
    </w:p>
    <w:p>
      <w:pPr>
        <w:spacing w:after="140" w:before="0"/>
      </w:pPr>
      <w:r>
        <w:rPr>
          <w:b/>
          <w:bCs/>
        </w:rPr>
        <w:t xml:space="preserve">AI tool: </w:t>
      </w:r>
      <w:r>
        <w:t xml:space="preserve">any software application or feature that uses machine learning, large language models, or generative AI to produce text, images, audio, video, classifications, or recommendations.</w:t>
      </w:r>
    </w:p>
    <w:p>
      <w:pPr>
        <w:spacing w:after="140" w:before="0"/>
      </w:pPr>
      <w:r>
        <w:rPr>
          <w:b/>
          <w:bCs/>
        </w:rPr>
        <w:t xml:space="preserve">Public tool: </w:t>
      </w:r>
      <w:r>
        <w:t xml:space="preserve">an AI tool used through a free or consumer-grade interface where the provider may use submitted content for model training or other secondary purposes.</w:t>
      </w:r>
    </w:p>
    <w:p>
      <w:pPr>
        <w:spacing w:after="140" w:before="0"/>
      </w:pPr>
      <w:r>
        <w:rPr>
          <w:b/>
          <w:bCs/>
        </w:rPr>
        <w:t xml:space="preserve">Enterprise tool: </w:t>
      </w:r>
      <w:r>
        <w:t xml:space="preserve">an AI tool used under an organizational contract that includes a data-protection commitment specifying that submitted content is not used for model training and is handled according to defined security standards.</w:t>
      </w:r>
    </w:p>
    <w:p>
      <w:pPr>
        <w:spacing w:after="140" w:before="0"/>
      </w:pPr>
      <w:r>
        <w:rPr>
          <w:b/>
          <w:bCs/>
        </w:rPr>
        <w:t xml:space="preserve">Participant: </w:t>
      </w:r>
      <w:r>
        <w:t xml:space="preserve">any individual served by, applying to, or formerly enrolled in any program operated by [Organization Name].</w:t>
      </w:r>
    </w:p>
    <w:p>
      <w:pPr>
        <w:spacing w:after="140" w:before="0"/>
      </w:pPr>
      <w:r>
        <w:rPr>
          <w:b/>
          <w:bCs/>
        </w:rPr>
        <w:t xml:space="preserve">Participant data: </w:t>
      </w:r>
      <w:r>
        <w:t xml:space="preserve">any information that can identify a participant, including name, contact information, demographic data, case notes, assessment results, service records, and any combination of fields that could reasonably re-identify an individual.</w:t>
      </w:r>
    </w:p>
    <w:p>
      <w:pPr>
        <w:spacing w:after="140" w:before="0"/>
      </w:pPr>
      <w:r>
        <w:rPr>
          <w:b/>
          <w:bCs/>
        </w:rPr>
        <w:t xml:space="preserve">PII (Personally Identifiable Information): </w:t>
      </w:r>
      <w:r>
        <w:t xml:space="preserve">any data that can be used to identify a specific individual, either alone or in combination with other reasonably available information.</w:t>
      </w:r>
    </w:p>
    <w:p>
      <w:pPr>
        <w:spacing w:after="140" w:before="0"/>
      </w:pPr>
      <w:r>
        <w:rPr>
          <w:b/>
          <w:bCs/>
        </w:rPr>
        <w:t xml:space="preserve">Sensitive data: </w:t>
      </w:r>
      <w:r>
        <w:t xml:space="preserve">any data category subject to legal, contractual, or funder protection — including (but not limited to) participant data, employee personnel records, financial records, donor information, and information covered by HIPAA, FERPA, or grant-specific data-sharing agreements.</w:t>
      </w:r>
    </w:p>
    <w:p>
      <w:pPr>
        <w:spacing w:after="140" w:before="0"/>
      </w:pPr>
      <w:r>
        <w:rPr>
          <w:b/>
          <w:bCs/>
        </w:rPr>
        <w:t xml:space="preserve">Human review: </w:t>
      </w:r>
      <w:r>
        <w:t xml:space="preserve">a process in which a qualified staff member examines, edits, and explicitly approves an AI-generated output before it is used, sent, filed, or relied on for a decision.</w:t>
      </w:r>
    </w:p>
    <w:p>
      <w:pPr>
        <w:pStyle w:val="Heading1"/>
      </w:pPr>
      <w:r>
        <w:t xml:space="preserve">3. The Three-Tier Approach to AI Use</w:t>
      </w:r>
    </w:p>
    <w:p>
      <w:pPr>
        <w:spacing w:after="140" w:before="0"/>
      </w:pPr>
      <w:r>
        <w:rPr>
          <w:b w:val="false"/>
          <w:bCs w:val="false"/>
          <w:i w:val="false"/>
          <w:iCs w:val="false"/>
        </w:rPr>
        <w:t xml:space="preserve">All AI use at [Organization Name] is classified into one of three tiers.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3780"/>
        <w:gridCol w:w="3780"/>
      </w:tblGrid>
      <w:tr>
        <w:trPr>
          <w:tblHeader/>
        </w:trPr>
        <w:tc>
          <w:tcPr>
            <w:tcW w:type="dxa" w:w="1800"/>
            <w:tcBorders>
              <w:top w:val="single" w:color="999999" w:sz="4"/>
              <w:left w:val="single" w:color="999999" w:sz="4"/>
              <w:bottom w:val="single" w:color="999999" w:sz="4"/>
              <w:right w:val="single" w:color="999999" w:sz="4"/>
            </w:tcBorders>
            <w:shd w:fill="E8E0D5" w:val="clear"/>
            <w:tcMar>
              <w:top w:type="dxa" w:w="100"/>
              <w:left w:type="dxa" w:w="140"/>
              <w:bottom w:type="dxa" w:w="100"/>
              <w:right w:type="dxa" w:w="140"/>
            </w:tcMar>
          </w:tcPr>
          <w:p>
            <w:r>
              <w:rPr>
                <w:b/>
                <w:bCs/>
              </w:rPr>
              <w:t xml:space="preserve">Tier</w:t>
            </w:r>
          </w:p>
        </w:tc>
        <w:tc>
          <w:tcPr>
            <w:tcW w:type="dxa" w:w="3780"/>
            <w:tcBorders>
              <w:top w:val="single" w:color="999999" w:sz="4"/>
              <w:left w:val="single" w:color="999999" w:sz="4"/>
              <w:bottom w:val="single" w:color="999999" w:sz="4"/>
              <w:right w:val="single" w:color="999999" w:sz="4"/>
            </w:tcBorders>
            <w:shd w:fill="E8E0D5" w:val="clear"/>
            <w:tcMar>
              <w:top w:type="dxa" w:w="100"/>
              <w:left w:type="dxa" w:w="140"/>
              <w:bottom w:type="dxa" w:w="100"/>
              <w:right w:type="dxa" w:w="140"/>
            </w:tcMar>
          </w:tcPr>
          <w:p>
            <w:r>
              <w:rPr>
                <w:b/>
                <w:bCs/>
              </w:rPr>
              <w:t xml:space="preserve">What</w:t>
            </w:r>
          </w:p>
        </w:tc>
        <w:tc>
          <w:tcPr>
            <w:tcW w:type="dxa" w:w="3780"/>
            <w:tcBorders>
              <w:top w:val="single" w:color="999999" w:sz="4"/>
              <w:left w:val="single" w:color="999999" w:sz="4"/>
              <w:bottom w:val="single" w:color="999999" w:sz="4"/>
              <w:right w:val="single" w:color="999999" w:sz="4"/>
            </w:tcBorders>
            <w:shd w:fill="E8E0D5" w:val="clear"/>
            <w:tcMar>
              <w:top w:type="dxa" w:w="100"/>
              <w:left w:type="dxa" w:w="140"/>
              <w:bottom w:type="dxa" w:w="100"/>
              <w:right w:type="dxa" w:w="140"/>
            </w:tcMar>
          </w:tcPr>
          <w:p>
            <w:r>
              <w:rPr>
                <w:b/>
                <w:bCs/>
              </w:rPr>
              <w:t xml:space="preserve">Examples</w:t>
            </w:r>
          </w:p>
        </w:tc>
      </w:tr>
      <w:tr>
        <w:tc>
          <w:tcPr>
            <w:tcW w:type="dxa" w:w="180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bCs/>
              </w:rPr>
              <w:t xml:space="preserve">Permitted</w:t>
            </w:r>
          </w:p>
        </w:tc>
        <w:tc>
          <w:tcPr>
            <w:tcW w:type="dxa" w:w="378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Uses approved without prior review. Low risk to participants, no sensitive data, public outputs.</w:t>
            </w:r>
          </w:p>
        </w:tc>
        <w:tc>
          <w:tcPr>
            <w:tcW w:type="dxa" w:w="378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Drafting public communications, summarizing public meeting notes, brainstorming program names, formatting reports.</w:t>
            </w:r>
          </w:p>
        </w:tc>
      </w:tr>
      <w:tr>
        <w:tc>
          <w:tcPr>
            <w:tcW w:type="dxa" w:w="180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bCs/>
              </w:rPr>
              <w:t xml:space="preserve">Restricted</w:t>
            </w:r>
          </w:p>
        </w:tc>
        <w:tc>
          <w:tcPr>
            <w:tcW w:type="dxa" w:w="378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Allowed only with documented approval, from the approved-tool list, and with a defined human review step.</w:t>
            </w:r>
          </w:p>
        </w:tc>
        <w:tc>
          <w:tcPr>
            <w:tcW w:type="dxa" w:w="378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Drafting grant narratives, summarizing internal documents, screening anonymized data, generating case-management language.</w:t>
            </w:r>
          </w:p>
        </w:tc>
      </w:tr>
      <w:tr>
        <w:tc>
          <w:tcPr>
            <w:tcW w:type="dxa" w:w="180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bCs/>
              </w:rPr>
              <w:t xml:space="preserve">Prohibited</w:t>
            </w:r>
          </w:p>
        </w:tc>
        <w:tc>
          <w:tcPr>
            <w:tcW w:type="dxa" w:w="378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Not allowed under any circumstance without a board-approved written exception.</w:t>
            </w:r>
          </w:p>
        </w:tc>
        <w:tc>
          <w:tcPr>
            <w:tcW w:type="dxa" w:w="378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PII in public tools, automated eligibility decisions, unreviewed case notes, training external models on participant data.</w:t>
            </w:r>
          </w:p>
        </w:tc>
      </w:tr>
    </w:tbl>
    <w:p>
      <w:pPr>
        <w:pStyle w:val="Heading2"/>
      </w:pPr>
      <w:r>
        <w:t xml:space="preserve">Permitted</w:t>
      </w:r>
    </w:p>
    <w:p>
      <w:pPr>
        <w:spacing w:after="140" w:before="0"/>
      </w:pPr>
      <w:r>
        <w:rPr>
          <w:b w:val="false"/>
          <w:bCs w:val="false"/>
          <w:i w:val="false"/>
          <w:iCs w:val="false"/>
        </w:rPr>
        <w:t xml:space="preserve">Permitted uses do not require prior approval. Staff may use approved tools in this category as part of regular work. Permitted uses share three characteristics:</w:t>
      </w:r>
    </w:p>
    <w:p>
      <w:pPr>
        <w:pStyle w:val="ListParagraph"/>
        <w:numPr>
          <w:ilvl w:val="0"/>
          <w:numId w:val="2"/>
        </w:numPr>
        <w:spacing w:after="80"/>
      </w:pPr>
      <w:r>
        <w:t xml:space="preserve">The input contains no participant data, sensitive data, or non-public internal information.</w:t>
      </w:r>
    </w:p>
    <w:p>
      <w:pPr>
        <w:pStyle w:val="ListParagraph"/>
        <w:numPr>
          <w:ilvl w:val="0"/>
          <w:numId w:val="2"/>
        </w:numPr>
        <w:spacing w:after="80"/>
      </w:pPr>
      <w:r>
        <w:t xml:space="preserve">The output is intended for low-stakes use (brainstorming, formatting, public communications, internal drafting).</w:t>
      </w:r>
    </w:p>
    <w:p>
      <w:pPr>
        <w:pStyle w:val="ListParagraph"/>
        <w:numPr>
          <w:ilvl w:val="0"/>
          <w:numId w:val="2"/>
        </w:numPr>
        <w:spacing w:after="80"/>
      </w:pPr>
      <w:r>
        <w:t xml:space="preserve">The tool used is on the approved-tool list for this category (see Appendix A).</w:t>
      </w:r>
    </w:p>
    <w:p>
      <w:pPr>
        <w:spacing w:after="140" w:before="0"/>
      </w:pPr>
      <w:r>
        <w:rPr>
          <w:b w:val="false"/>
          <w:bCs w:val="false"/>
          <w:i w:val="false"/>
          <w:iCs w:val="false"/>
        </w:rPr>
        <w:t xml:space="preserve">Even within Permitted use, staff are accountable for the accuracy and appropriateness of any output they adopt. AI-generated text is the responsibility of the staff member who uses it.</w:t>
      </w:r>
    </w:p>
    <w:p>
      <w:pPr>
        <w:pStyle w:val="Heading2"/>
      </w:pPr>
      <w:r>
        <w:t xml:space="preserve">Restricted</w:t>
      </w:r>
    </w:p>
    <w:p>
      <w:pPr>
        <w:spacing w:after="140" w:before="0"/>
      </w:pPr>
      <w:r>
        <w:rPr>
          <w:b w:val="false"/>
          <w:bCs w:val="false"/>
          <w:i w:val="false"/>
          <w:iCs w:val="false"/>
        </w:rPr>
        <w:t xml:space="preserve">Restricted uses require all four of the following:</w:t>
      </w:r>
    </w:p>
    <w:p>
      <w:pPr>
        <w:pStyle w:val="ListParagraph"/>
        <w:numPr>
          <w:ilvl w:val="0"/>
          <w:numId w:val="3"/>
        </w:numPr>
        <w:spacing w:after="80"/>
      </w:pPr>
      <w:r>
        <w:t xml:space="preserve">The tool is on the approved-tool list for Restricted use (see Appendix A).</w:t>
      </w:r>
    </w:p>
    <w:p>
      <w:pPr>
        <w:pStyle w:val="ListParagraph"/>
        <w:numPr>
          <w:ilvl w:val="0"/>
          <w:numId w:val="3"/>
        </w:numPr>
        <w:spacing w:after="80"/>
      </w:pPr>
      <w:r>
        <w:t xml:space="preserve">The staff member has completed required training (see Section 7).</w:t>
      </w:r>
    </w:p>
    <w:p>
      <w:pPr>
        <w:pStyle w:val="ListParagraph"/>
        <w:numPr>
          <w:ilvl w:val="0"/>
          <w:numId w:val="3"/>
        </w:numPr>
        <w:spacing w:after="80"/>
      </w:pPr>
      <w:r>
        <w:t xml:space="preserve">The use is documented in the program's AI-use log (template in Appendix B).</w:t>
      </w:r>
    </w:p>
    <w:p>
      <w:pPr>
        <w:pStyle w:val="ListParagraph"/>
        <w:numPr>
          <w:ilvl w:val="0"/>
          <w:numId w:val="3"/>
        </w:numPr>
        <w:spacing w:after="80"/>
      </w:pPr>
      <w:r>
        <w:t xml:space="preserve">Outputs receive human review before being used, sent, filed, or shared externally.</w:t>
      </w:r>
    </w:p>
    <w:p>
      <w:pPr>
        <w:spacing w:after="140" w:before="0"/>
      </w:pPr>
      <w:r>
        <w:rPr>
          <w:b w:val="false"/>
          <w:bCs w:val="false"/>
          <w:i w:val="false"/>
          <w:iCs w:val="false"/>
        </w:rPr>
        <w:t xml:space="preserve">Typical Restricted uses include drafting grant narratives, summarizing internal program documents, generating template language for case-management communications, and producing analyses of anonymized program data.</w:t>
      </w:r>
    </w:p>
    <w:p>
      <w:pPr>
        <w:pStyle w:val="Heading2"/>
      </w:pPr>
      <w:r>
        <w:t xml:space="preserve">Prohibited</w:t>
      </w:r>
    </w:p>
    <w:p>
      <w:pPr>
        <w:spacing w:after="140" w:before="0"/>
      </w:pPr>
      <w:r>
        <w:rPr>
          <w:b w:val="false"/>
          <w:bCs w:val="false"/>
          <w:i w:val="false"/>
          <w:iCs w:val="false"/>
        </w:rPr>
        <w:t xml:space="preserve">The following uses are prohibited under any circumstance unless the Board of Directors has granted a written exception:</w:t>
      </w:r>
    </w:p>
    <w:p>
      <w:pPr>
        <w:pStyle w:val="ListParagraph"/>
        <w:numPr>
          <w:ilvl w:val="0"/>
          <w:numId w:val="2"/>
        </w:numPr>
        <w:spacing w:after="80"/>
      </w:pPr>
      <w:r>
        <w:t xml:space="preserve">Entering participant PII or sensitive participant data into a Public tool.</w:t>
      </w:r>
    </w:p>
    <w:p>
      <w:pPr>
        <w:pStyle w:val="ListParagraph"/>
        <w:numPr>
          <w:ilvl w:val="0"/>
          <w:numId w:val="2"/>
        </w:numPr>
        <w:spacing w:after="80"/>
      </w:pPr>
      <w:r>
        <w:t xml:space="preserve">Automated eligibility, benefit, or service-denial decisions without human review and a documented appeal path.</w:t>
      </w:r>
    </w:p>
    <w:p>
      <w:pPr>
        <w:pStyle w:val="ListParagraph"/>
        <w:numPr>
          <w:ilvl w:val="0"/>
          <w:numId w:val="2"/>
        </w:numPr>
        <w:spacing w:after="80"/>
      </w:pPr>
      <w:r>
        <w:t xml:space="preserve">Generating final case notes, assessments, or service plans without staff review and explicit sign-off.</w:t>
      </w:r>
    </w:p>
    <w:p>
      <w:pPr>
        <w:pStyle w:val="ListParagraph"/>
        <w:numPr>
          <w:ilvl w:val="0"/>
          <w:numId w:val="2"/>
        </w:numPr>
        <w:spacing w:after="80"/>
      </w:pPr>
      <w:r>
        <w:t xml:space="preserve">Using participant data to train, fine-tune, or evaluate external AI models.</w:t>
      </w:r>
    </w:p>
    <w:p>
      <w:pPr>
        <w:pStyle w:val="ListParagraph"/>
        <w:numPr>
          <w:ilvl w:val="0"/>
          <w:numId w:val="2"/>
        </w:numPr>
        <w:spacing w:after="80"/>
      </w:pPr>
      <w:r>
        <w:t xml:space="preserve">Representing AI-generated content as human-authored in funder reports, evaluations, or public communications.</w:t>
      </w:r>
    </w:p>
    <w:p>
      <w:pPr>
        <w:pStyle w:val="ListParagraph"/>
        <w:numPr>
          <w:ilvl w:val="0"/>
          <w:numId w:val="2"/>
        </w:numPr>
        <w:spacing w:after="80"/>
      </w:pPr>
      <w:r>
        <w:t xml:space="preserve">Any AI use that conflicts with a funder's terms, a data-sharing agreement, or applicable law.</w:t>
      </w:r>
    </w:p>
    <w:p>
      <w:pPr>
        <w:pStyle w:val="ListParagraph"/>
        <w:numPr>
          <w:ilvl w:val="0"/>
          <w:numId w:val="2"/>
        </w:numPr>
        <w:spacing w:after="80"/>
      </w:pPr>
      <w:r>
        <w:t xml:space="preserve">Use of AI tools to monitor, surveil, or evaluate participants without their informed consent.</w:t>
      </w:r>
    </w:p>
    <w:p>
      <w:pPr>
        <w:pStyle w:val="Heading1"/>
      </w:pPr>
      <w:r>
        <w:t xml:space="preserve">4. Data Handling Rules</w:t>
      </w:r>
    </w:p>
    <w:p>
      <w:pPr>
        <w:pStyle w:val="Heading2"/>
      </w:pPr>
      <w:r>
        <w:t xml:space="preserve">Data classification, in plain language</w:t>
      </w:r>
    </w:p>
    <w:p>
      <w:pPr>
        <w:spacing w:after="140" w:before="0"/>
      </w:pPr>
      <w:r>
        <w:rPr>
          <w:b w:val="false"/>
          <w:bCs w:val="false"/>
          <w:i w:val="false"/>
          <w:iCs w:val="false"/>
        </w:rPr>
        <w:t xml:space="preserve">Before using an AI tool, ask: what class of data am I about to put into this tool? The answer determines what is allowed.</w:t>
      </w:r>
    </w:p>
    <w:p>
      <w:pPr>
        <w:pStyle w:val="ListParagraph"/>
        <w:numPr>
          <w:ilvl w:val="0"/>
          <w:numId w:val="2"/>
        </w:numPr>
        <w:spacing w:after="80"/>
      </w:pPr>
      <w:r>
        <w:rPr>
          <w:b/>
          <w:bCs/>
        </w:rPr>
        <w:t xml:space="preserve">Public: </w:t>
      </w:r>
      <w:r>
        <w:t xml:space="preserve">information already published or freely shareable (e.g., the organization's mission statement, public announcements, program descriptions on the website). May be used with Permitted-tier tools.</w:t>
      </w:r>
    </w:p>
    <w:p>
      <w:pPr>
        <w:pStyle w:val="ListParagraph"/>
        <w:numPr>
          <w:ilvl w:val="0"/>
          <w:numId w:val="2"/>
        </w:numPr>
        <w:spacing w:after="80"/>
      </w:pPr>
      <w:r>
        <w:rPr>
          <w:b/>
          <w:bCs/>
        </w:rPr>
        <w:t xml:space="preserve">Internal: </w:t>
      </w:r>
      <w:r>
        <w:t xml:space="preserve">non-public organizational information that is not personally identifying (e.g., draft program designs, internal meeting notes without participant names, budget structures). May be used only with Restricted-tier tools, with human review.</w:t>
      </w:r>
    </w:p>
    <w:p>
      <w:pPr>
        <w:pStyle w:val="ListParagraph"/>
        <w:numPr>
          <w:ilvl w:val="0"/>
          <w:numId w:val="2"/>
        </w:numPr>
        <w:spacing w:after="80"/>
      </w:pPr>
      <w:r>
        <w:rPr>
          <w:b/>
          <w:bCs/>
        </w:rPr>
        <w:t xml:space="preserve">Sensitive: </w:t>
      </w:r>
      <w:r>
        <w:t xml:space="preserve">personally identifiable, regulated, or contractually protected data. May only be used with tools specifically approved for that data class, and never with Public tools.</w:t>
      </w:r>
    </w:p>
    <w:p>
      <w:pPr>
        <w:pStyle w:val="Heading2"/>
      </w:pPr>
      <w:r>
        <w:t xml:space="preserve">De-identification</w:t>
      </w:r>
    </w:p>
    <w:p>
      <w:pPr>
        <w:spacing w:after="140" w:before="0"/>
      </w:pPr>
      <w:r>
        <w:rPr>
          <w:b w:val="false"/>
          <w:bCs w:val="false"/>
          <w:i w:val="false"/>
          <w:iCs w:val="false"/>
        </w:rPr>
        <w:t xml:space="preserve">Removing a name is not the same as de-identification. Combinations of fields — ZIP code, age, program enrollment date, employer, family composition — can re-identify a participant even when names are stripped. Treat any record that originated as participant data as participant data, unless it has been formally de-identified using a documented method.</w:t>
      </w:r>
    </w:p>
    <w:p>
      <w:pPr>
        <w:pStyle w:val="Heading2"/>
      </w:pPr>
      <w:r>
        <w:t xml:space="preserve">Tool inputs and outputs</w:t>
      </w:r>
    </w:p>
    <w:p>
      <w:pPr>
        <w:pStyle w:val="ListParagraph"/>
        <w:numPr>
          <w:ilvl w:val="0"/>
          <w:numId w:val="2"/>
        </w:numPr>
        <w:spacing w:after="80"/>
      </w:pPr>
      <w:r>
        <w:t xml:space="preserve">Inputs to AI tools are records. Significant prompts that draw on internal or sensitive context should be saved alongside the output, so the source of any decision can be traced later.</w:t>
      </w:r>
    </w:p>
    <w:p>
      <w:pPr>
        <w:pStyle w:val="ListParagraph"/>
        <w:numPr>
          <w:ilvl w:val="0"/>
          <w:numId w:val="2"/>
        </w:numPr>
        <w:spacing w:after="80"/>
      </w:pPr>
      <w:r>
        <w:t xml:space="preserve">Outputs adopted into program documents become organizational records subject to the same retention rules as other records of that type.</w:t>
      </w:r>
    </w:p>
    <w:p>
      <w:pPr>
        <w:pStyle w:val="ListParagraph"/>
        <w:numPr>
          <w:ilvl w:val="0"/>
          <w:numId w:val="2"/>
        </w:numPr>
        <w:spacing w:after="80"/>
      </w:pPr>
      <w:r>
        <w:t xml:space="preserve">Do not paste outputs into participant records without staff review and edit. The output is a draft, not a record.</w:t>
      </w:r>
    </w:p>
    <w:p>
      <w:pPr>
        <w:pStyle w:val="Heading1"/>
      </w:pPr>
      <w:r>
        <w:t xml:space="preserve">5. Tool Selection Criteria</w:t>
      </w:r>
    </w:p>
    <w:p>
      <w:pPr>
        <w:spacing w:after="140" w:before="0"/>
      </w:pPr>
      <w:r>
        <w:rPr>
          <w:b w:val="false"/>
          <w:bCs w:val="false"/>
          <w:i w:val="false"/>
          <w:iCs w:val="false"/>
        </w:rPr>
        <w:t xml:space="preserve">New AI tools may be added to the approved-tool list only after the following are documented:</w:t>
      </w:r>
    </w:p>
    <w:p>
      <w:pPr>
        <w:pStyle w:val="ListParagraph"/>
        <w:numPr>
          <w:ilvl w:val="0"/>
          <w:numId w:val="3"/>
        </w:numPr>
        <w:spacing w:after="80"/>
      </w:pPr>
      <w:r>
        <w:t xml:space="preserve">Vendor and product name, with the specific version and licensing tier.</w:t>
      </w:r>
    </w:p>
    <w:p>
      <w:pPr>
        <w:pStyle w:val="ListParagraph"/>
        <w:numPr>
          <w:ilvl w:val="0"/>
          <w:numId w:val="3"/>
        </w:numPr>
        <w:spacing w:after="80"/>
      </w:pPr>
      <w:r>
        <w:t xml:space="preserve">Written data-handling commitment from the vendor, including whether inputs are used for model training, data retention windows, and applicable security certifications.</w:t>
      </w:r>
    </w:p>
    <w:p>
      <w:pPr>
        <w:pStyle w:val="ListParagraph"/>
        <w:numPr>
          <w:ilvl w:val="0"/>
          <w:numId w:val="3"/>
        </w:numPr>
        <w:spacing w:after="80"/>
      </w:pPr>
      <w:r>
        <w:t xml:space="preserve">The data class(es) the tool is approved to handle.</w:t>
      </w:r>
    </w:p>
    <w:p>
      <w:pPr>
        <w:pStyle w:val="ListParagraph"/>
        <w:numPr>
          <w:ilvl w:val="0"/>
          <w:numId w:val="3"/>
        </w:numPr>
        <w:spacing w:after="80"/>
      </w:pPr>
      <w:r>
        <w:t xml:space="preserve">The tier (Permitted / Restricted) under which the tool may be used.</w:t>
      </w:r>
    </w:p>
    <w:p>
      <w:pPr>
        <w:pStyle w:val="ListParagraph"/>
        <w:numPr>
          <w:ilvl w:val="0"/>
          <w:numId w:val="3"/>
        </w:numPr>
        <w:spacing w:after="80"/>
      </w:pPr>
      <w:r>
        <w:t xml:space="preserve">Any compliance constraints, including funder-specific restrictions and data-sharing agreement implications.</w:t>
      </w:r>
    </w:p>
    <w:p>
      <w:pPr>
        <w:pStyle w:val="ListParagraph"/>
        <w:numPr>
          <w:ilvl w:val="0"/>
          <w:numId w:val="3"/>
        </w:numPr>
        <w:spacing w:after="80"/>
      </w:pPr>
      <w:r>
        <w:t xml:space="preserve">Sign-off by the Executive Director, with IT or security review where applicable.</w:t>
      </w:r>
    </w:p>
    <w:p>
      <w:pPr>
        <w:pStyle w:val="Heading1"/>
      </w:pPr>
      <w:r>
        <w:t xml:space="preserve">6. Exception Process</w:t>
      </w:r>
    </w:p>
    <w:p>
      <w:pPr>
        <w:spacing w:after="140" w:before="0"/>
      </w:pPr>
      <w:r>
        <w:rPr>
          <w:b w:val="false"/>
          <w:bCs w:val="false"/>
          <w:i w:val="false"/>
          <w:iCs w:val="false"/>
        </w:rPr>
        <w:t xml:space="preserve">Any AI use that falls outside the approved tool list, outside the assigned tier for a tool, or into the Prohibited category requires a written exception. Exceptions follow this process:</w:t>
      </w:r>
    </w:p>
    <w:p>
      <w:pPr>
        <w:pStyle w:val="ListParagraph"/>
        <w:numPr>
          <w:ilvl w:val="0"/>
          <w:numId w:val="3"/>
        </w:numPr>
        <w:spacing w:after="80"/>
      </w:pPr>
      <w:r>
        <w:t xml:space="preserve">The requesting staff member submits a written exception request to the Executive Director, describing: the proposed use, the participants or data involved, why it cannot be accomplished within existing tiers, the safeguards proposed, and the review/sunset date.</w:t>
      </w:r>
    </w:p>
    <w:p>
      <w:pPr>
        <w:pStyle w:val="ListParagraph"/>
        <w:numPr>
          <w:ilvl w:val="0"/>
          <w:numId w:val="3"/>
        </w:numPr>
        <w:spacing w:after="80"/>
      </w:pPr>
      <w:r>
        <w:t xml:space="preserve">The Executive Director reviews and may approve a one-time, time-limited exception.</w:t>
      </w:r>
    </w:p>
    <w:p>
      <w:pPr>
        <w:pStyle w:val="ListParagraph"/>
        <w:numPr>
          <w:ilvl w:val="0"/>
          <w:numId w:val="3"/>
        </w:numPr>
        <w:spacing w:after="80"/>
      </w:pPr>
      <w:r>
        <w:t xml:space="preserve">Exceptions to the Prohibited list, and any standing exception lasting longer than 90 days, require Board approval.</w:t>
      </w:r>
    </w:p>
    <w:p>
      <w:pPr>
        <w:pStyle w:val="ListParagraph"/>
        <w:numPr>
          <w:ilvl w:val="0"/>
          <w:numId w:val="3"/>
        </w:numPr>
        <w:spacing w:after="80"/>
      </w:pPr>
      <w:r>
        <w:t xml:space="preserve">All approved exceptions are logged in the AI-use log and reviewed at the next policy review.</w:t>
      </w:r>
    </w:p>
    <w:p>
      <w:pPr>
        <w:pStyle w:val="Heading1"/>
      </w:pPr>
      <w:r>
        <w:t xml:space="preserve">7. Training Expectations</w:t>
      </w:r>
    </w:p>
    <w:p>
      <w:pPr>
        <w:spacing w:after="140" w:before="0"/>
      </w:pPr>
      <w:r>
        <w:rPr>
          <w:b w:val="false"/>
          <w:bCs w:val="false"/>
          <w:i w:val="false"/>
          <w:iCs w:val="false"/>
        </w:rPr>
        <w:t xml:space="preserve">All staff who use AI tools at any tier must complete:</w:t>
      </w:r>
    </w:p>
    <w:p>
      <w:pPr>
        <w:pStyle w:val="ListParagraph"/>
        <w:numPr>
          <w:ilvl w:val="0"/>
          <w:numId w:val="2"/>
        </w:numPr>
        <w:spacing w:after="80"/>
      </w:pPr>
      <w:r>
        <w:t xml:space="preserve">An initial AI policy orientation (estimated 60 minutes) covering this handbook, the three-tier framework, the prohibited list, and the AI-use log.</w:t>
      </w:r>
    </w:p>
    <w:p>
      <w:pPr>
        <w:pStyle w:val="ListParagraph"/>
        <w:numPr>
          <w:ilvl w:val="0"/>
          <w:numId w:val="2"/>
        </w:numPr>
        <w:spacing w:after="80"/>
      </w:pPr>
      <w:r>
        <w:t xml:space="preserve">Tool-specific training before being authorized for Restricted-tier use of any specific tool.</w:t>
      </w:r>
    </w:p>
    <w:p>
      <w:pPr>
        <w:pStyle w:val="ListParagraph"/>
        <w:numPr>
          <w:ilvl w:val="0"/>
          <w:numId w:val="2"/>
        </w:numPr>
        <w:spacing w:after="80"/>
      </w:pPr>
      <w:r>
        <w:t xml:space="preserve">An annual refresher when the policy is reviewed.</w:t>
      </w:r>
    </w:p>
    <w:p>
      <w:pPr>
        <w:spacing w:after="140" w:before="0"/>
      </w:pPr>
      <w:r>
        <w:rPr>
          <w:b w:val="false"/>
          <w:bCs w:val="false"/>
          <w:i w:val="false"/>
          <w:iCs w:val="false"/>
        </w:rPr>
        <w:t xml:space="preserve">Training completion is tracked by [name of designated role: e.g., Operations Director] and is a precondition for Restricted-tier authorization.</w:t>
      </w:r>
    </w:p>
    <w:p>
      <w:pPr>
        <w:pStyle w:val="Heading1"/>
      </w:pPr>
      <w:r>
        <w:t xml:space="preserve">8. Review Schedule</w:t>
      </w:r>
    </w:p>
    <w:p>
      <w:pPr>
        <w:pStyle w:val="ListParagraph"/>
        <w:numPr>
          <w:ilvl w:val="0"/>
          <w:numId w:val="2"/>
        </w:numPr>
        <w:spacing w:after="80"/>
      </w:pPr>
      <w:r>
        <w:t xml:space="preserve">This handbook is reviewed by the Executive Director annually, on or about [date].</w:t>
      </w:r>
    </w:p>
    <w:p>
      <w:pPr>
        <w:pStyle w:val="ListParagraph"/>
        <w:numPr>
          <w:ilvl w:val="0"/>
          <w:numId w:val="2"/>
        </w:numPr>
        <w:spacing w:after="80"/>
      </w:pPr>
      <w:r>
        <w:t xml:space="preserve">The Board of Directors reviews the Board Brief version of this policy and any material changes annually.</w:t>
      </w:r>
    </w:p>
    <w:p>
      <w:pPr>
        <w:pStyle w:val="ListParagraph"/>
        <w:numPr>
          <w:ilvl w:val="0"/>
          <w:numId w:val="2"/>
        </w:numPr>
        <w:spacing w:after="80"/>
      </w:pPr>
      <w:r>
        <w:t xml:space="preserve">Any change to the three-tier framework, the Prohibited list, or the approved-tool list triggers a notice to all staff within five business days.</w:t>
      </w:r>
    </w:p>
    <w:p>
      <w:pPr>
        <w:pStyle w:val="ListParagraph"/>
        <w:numPr>
          <w:ilvl w:val="0"/>
          <w:numId w:val="2"/>
        </w:numPr>
        <w:spacing w:after="80"/>
      </w:pPr>
      <w:r>
        <w:t xml:space="preserve">Funders are notified of material policy changes when required under specific grant terms.</w:t>
      </w:r>
    </w:p>
    <w:p>
      <w:r>
        <w:br w:type="page"/>
      </w:r>
    </w:p>
    <w:p>
      <w:pPr>
        <w:pStyle w:val="Heading1"/>
      </w:pPr>
      <w:r>
        <w:t xml:space="preserve">9. Adoption Signature Page</w:t>
      </w:r>
    </w:p>
    <w:p>
      <w:pPr>
        <w:spacing w:after="140" w:before="0"/>
      </w:pPr>
      <w:r>
        <w:rPr>
          <w:b w:val="false"/>
          <w:bCs w:val="false"/>
          <w:i w:val="false"/>
          <w:iCs w:val="false"/>
        </w:rPr>
        <w:t xml:space="preserve">By signing below, I acknowledge that I have read, understood, and agree to follow the Nonprofit AI Use Policy of [Organization Name]. I understand that violations may result in disciplinary action up to and including termination, and that any concerns about the policy should be raised with the Executive Director.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bCs/>
              </w:rPr>
              <w:t xml:space="preserve">Employee name (printed):</w:t>
            </w:r>
          </w:p>
        </w:tc>
        <w:tc>
          <w:tcPr>
            <w:tcW w:type="dxa" w:w="468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 </w:t>
            </w:r>
          </w:p>
        </w:tc>
      </w:tr>
      <w:tr>
        <w:tc>
          <w:tcPr>
            <w:tcW w:type="dxa" w:w="468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bCs/>
              </w:rPr>
              <w:t xml:space="preserve">Role / department:</w:t>
            </w:r>
          </w:p>
        </w:tc>
        <w:tc>
          <w:tcPr>
            <w:tcW w:type="dxa" w:w="468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 </w:t>
            </w:r>
          </w:p>
        </w:tc>
      </w:tr>
      <w:tr>
        <w:tc>
          <w:tcPr>
            <w:tcW w:type="dxa" w:w="468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bCs/>
              </w:rPr>
              <w:t xml:space="preserve">Signature:</w:t>
            </w:r>
          </w:p>
        </w:tc>
        <w:tc>
          <w:tcPr>
            <w:tcW w:type="dxa" w:w="468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 </w:t>
            </w:r>
          </w:p>
        </w:tc>
      </w:tr>
      <w:tr>
        <w:tc>
          <w:tcPr>
            <w:tcW w:type="dxa" w:w="468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bCs/>
              </w:rPr>
              <w:t xml:space="preserve">Date:</w:t>
            </w:r>
          </w:p>
        </w:tc>
        <w:tc>
          <w:tcPr>
            <w:tcW w:type="dxa" w:w="468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 </w:t>
            </w:r>
          </w:p>
        </w:tc>
      </w:tr>
    </w:tbl>
    <w:p>
      <w:pPr>
        <w:spacing w:after="140" w:before="0"/>
      </w:pPr>
      <w:r>
        <w:rPr>
          <w:b w:val="false"/>
          <w:bCs w:val="false"/>
          <w:i w:val="false"/>
          <w:iCs w:val="false"/>
        </w:rPr>
        <w:t xml:space="preserve"> </w:t>
      </w:r>
    </w:p>
    <w:p>
      <w:pPr>
        <w:spacing w:after="140" w:before="0"/>
      </w:pPr>
      <w:r>
        <w:rPr>
          <w:i/>
          <w:iCs/>
        </w:rPr>
        <w:t xml:space="preserve">Witness (HR / Operations): ____________________________  Date: ____________</w:t>
      </w:r>
    </w:p>
    <w:p>
      <w:r>
        <w:br w:type="page"/>
      </w:r>
    </w:p>
    <w:p>
      <w:pPr>
        <w:pStyle w:val="Heading1"/>
      </w:pPr>
      <w:r>
        <w:t xml:space="preserve">Appendix A. Approved Tool List</w:t>
      </w:r>
    </w:p>
    <w:p>
      <w:pPr>
        <w:spacing w:after="140" w:before="0"/>
      </w:pPr>
      <w:r>
        <w:rPr>
          <w:b w:val="false"/>
          <w:bCs w:val="false"/>
          <w:i w:val="false"/>
          <w:iCs w:val="false"/>
        </w:rPr>
        <w:t xml:space="preserve">Maintain this table as tools are evaluated and adopted. Remove this italicized note when the table is filled out.</w:t>
      </w:r>
    </w:p>
    <w:p>
      <w:pPr>
        <w:spacing w:after="140" w:before="0"/>
      </w:pPr>
      <w:r>
        <w:rPr>
          <w:i/>
          <w:iCs/>
        </w:rPr>
        <w:t xml:space="preserve">Each tool listed below has been reviewed against the criteria in Section 5 and is approved for use at the tier and data class shown. Tools not listed here may not be used for organizational work without an exception (Section 6).</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1560"/>
        <w:gridCol w:w="1560"/>
        <w:gridCol w:w="1560"/>
        <w:gridCol w:w="2340"/>
      </w:tblGrid>
      <w:tr>
        <w:trPr>
          <w:tblHeader/>
        </w:trPr>
        <w:tc>
          <w:tcPr>
            <w:tcW w:type="dxa" w:w="2340"/>
            <w:tcBorders>
              <w:top w:val="single" w:color="999999" w:sz="4"/>
              <w:left w:val="single" w:color="999999" w:sz="4"/>
              <w:bottom w:val="single" w:color="999999" w:sz="4"/>
              <w:right w:val="single" w:color="999999" w:sz="4"/>
            </w:tcBorders>
            <w:shd w:fill="E8E0D5" w:val="clear"/>
            <w:tcMar>
              <w:top w:type="dxa" w:w="100"/>
              <w:left w:type="dxa" w:w="140"/>
              <w:bottom w:type="dxa" w:w="100"/>
              <w:right w:type="dxa" w:w="140"/>
            </w:tcMar>
          </w:tcPr>
          <w:p>
            <w:r>
              <w:rPr>
                <w:b/>
                <w:bCs/>
              </w:rPr>
              <w:t xml:space="preserve">Tool</w:t>
            </w:r>
          </w:p>
        </w:tc>
        <w:tc>
          <w:tcPr>
            <w:tcW w:type="dxa" w:w="1560"/>
            <w:tcBorders>
              <w:top w:val="single" w:color="999999" w:sz="4"/>
              <w:left w:val="single" w:color="999999" w:sz="4"/>
              <w:bottom w:val="single" w:color="999999" w:sz="4"/>
              <w:right w:val="single" w:color="999999" w:sz="4"/>
            </w:tcBorders>
            <w:shd w:fill="E8E0D5" w:val="clear"/>
            <w:tcMar>
              <w:top w:type="dxa" w:w="100"/>
              <w:left w:type="dxa" w:w="140"/>
              <w:bottom w:type="dxa" w:w="100"/>
              <w:right w:type="dxa" w:w="140"/>
            </w:tcMar>
          </w:tcPr>
          <w:p>
            <w:r>
              <w:rPr>
                <w:b/>
                <w:bCs/>
              </w:rPr>
              <w:t xml:space="preserve">Tier</w:t>
            </w:r>
          </w:p>
        </w:tc>
        <w:tc>
          <w:tcPr>
            <w:tcW w:type="dxa" w:w="1560"/>
            <w:tcBorders>
              <w:top w:val="single" w:color="999999" w:sz="4"/>
              <w:left w:val="single" w:color="999999" w:sz="4"/>
              <w:bottom w:val="single" w:color="999999" w:sz="4"/>
              <w:right w:val="single" w:color="999999" w:sz="4"/>
            </w:tcBorders>
            <w:shd w:fill="E8E0D5" w:val="clear"/>
            <w:tcMar>
              <w:top w:type="dxa" w:w="100"/>
              <w:left w:type="dxa" w:w="140"/>
              <w:bottom w:type="dxa" w:w="100"/>
              <w:right w:type="dxa" w:w="140"/>
            </w:tcMar>
          </w:tcPr>
          <w:p>
            <w:r>
              <w:rPr>
                <w:b/>
                <w:bCs/>
              </w:rPr>
              <w:t xml:space="preserve">Data class</w:t>
            </w:r>
          </w:p>
        </w:tc>
        <w:tc>
          <w:tcPr>
            <w:tcW w:type="dxa" w:w="1560"/>
            <w:tcBorders>
              <w:top w:val="single" w:color="999999" w:sz="4"/>
              <w:left w:val="single" w:color="999999" w:sz="4"/>
              <w:bottom w:val="single" w:color="999999" w:sz="4"/>
              <w:right w:val="single" w:color="999999" w:sz="4"/>
            </w:tcBorders>
            <w:shd w:fill="E8E0D5" w:val="clear"/>
            <w:tcMar>
              <w:top w:type="dxa" w:w="100"/>
              <w:left w:type="dxa" w:w="140"/>
              <w:bottom w:type="dxa" w:w="100"/>
              <w:right w:type="dxa" w:w="140"/>
            </w:tcMar>
          </w:tcPr>
          <w:p>
            <w:r>
              <w:rPr>
                <w:b/>
                <w:bCs/>
              </w:rPr>
              <w:t xml:space="preserve">Approved by</w:t>
            </w:r>
          </w:p>
        </w:tc>
        <w:tc>
          <w:tcPr>
            <w:tcW w:type="dxa" w:w="2340"/>
            <w:tcBorders>
              <w:top w:val="single" w:color="999999" w:sz="4"/>
              <w:left w:val="single" w:color="999999" w:sz="4"/>
              <w:bottom w:val="single" w:color="999999" w:sz="4"/>
              <w:right w:val="single" w:color="999999" w:sz="4"/>
            </w:tcBorders>
            <w:shd w:fill="E8E0D5" w:val="clear"/>
            <w:tcMar>
              <w:top w:type="dxa" w:w="100"/>
              <w:left w:type="dxa" w:w="140"/>
              <w:bottom w:type="dxa" w:w="100"/>
              <w:right w:type="dxa" w:w="140"/>
            </w:tcMar>
          </w:tcPr>
          <w:p>
            <w:r>
              <w:rPr>
                <w:b/>
                <w:bCs/>
              </w:rPr>
              <w:t xml:space="preserve">Notes / conditions</w:t>
            </w:r>
          </w:p>
        </w:tc>
      </w:tr>
      <w:tr>
        <w:tc>
          <w:tcPr>
            <w:tcW w:type="dxa" w:w="234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[Example: Claude.ai Free]</w:t>
            </w:r>
          </w:p>
        </w:tc>
        <w:tc>
          <w:tcPr>
            <w:tcW w:type="dxa" w:w="156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Permitted (public data only)</w:t>
            </w:r>
          </w:p>
        </w:tc>
        <w:tc>
          <w:tcPr>
            <w:tcW w:type="dxa" w:w="156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Public only</w:t>
            </w:r>
          </w:p>
        </w:tc>
        <w:tc>
          <w:tcPr>
            <w:tcW w:type="dxa" w:w="156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ED, [date]</w:t>
            </w:r>
          </w:p>
        </w:tc>
        <w:tc>
          <w:tcPr>
            <w:tcW w:type="dxa" w:w="234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No PII; no internal financials; review outputs before sending.</w:t>
            </w:r>
          </w:p>
        </w:tc>
      </w:tr>
      <w:tr>
        <w:tc>
          <w:tcPr>
            <w:tcW w:type="dxa" w:w="234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[Example: Microsoft Copilot for M365]</w:t>
            </w:r>
          </w:p>
        </w:tc>
        <w:tc>
          <w:tcPr>
            <w:tcW w:type="dxa" w:w="156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Restricted</w:t>
            </w:r>
          </w:p>
        </w:tc>
        <w:tc>
          <w:tcPr>
            <w:tcW w:type="dxa" w:w="156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Internal docs</w:t>
            </w:r>
          </w:p>
        </w:tc>
        <w:tc>
          <w:tcPr>
            <w:tcW w:type="dxa" w:w="156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ED + IT, [date]</w:t>
            </w:r>
          </w:p>
        </w:tc>
        <w:tc>
          <w:tcPr>
            <w:tcW w:type="dxa" w:w="234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Tenant configured with data-protection commitment; no participant PII without separate review.</w:t>
            </w:r>
          </w:p>
        </w:tc>
      </w:tr>
      <w:tr>
        <w:tc>
          <w:tcPr>
            <w:tcW w:type="dxa" w:w="234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[Add your tools]</w:t>
            </w:r>
          </w:p>
        </w:tc>
        <w:tc>
          <w:tcPr>
            <w:tcW w:type="dxa" w:w="156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w:t>
            </w:r>
          </w:p>
        </w:tc>
        <w:tc>
          <w:tcPr>
            <w:tcW w:type="dxa" w:w="156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w:t>
            </w:r>
          </w:p>
        </w:tc>
        <w:tc>
          <w:tcPr>
            <w:tcW w:type="dxa" w:w="156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w:t>
            </w:r>
          </w:p>
        </w:tc>
        <w:tc>
          <w:tcPr>
            <w:tcW w:type="dxa" w:w="2340"/>
            <w:tcBorders>
              <w:top w:val="single" w:color="999999" w:sz="4"/>
              <w:left w:val="single" w:color="999999" w:sz="4"/>
              <w:bottom w:val="single" w:color="999999" w:sz="4"/>
              <w:right w:val="single" w:color="999999" w:sz="4"/>
            </w:tcBorders>
            <w:tcMar>
              <w:top w:type="dxa" w:w="100"/>
              <w:left w:type="dxa" w:w="140"/>
              <w:bottom w:type="dxa" w:w="100"/>
              <w:right w:type="dxa" w:w="140"/>
            </w:tcMar>
          </w:tcPr>
          <w:p>
            <w:r>
              <w:rPr>
                <w:b w:val="false"/>
                <w:bCs w:val="false"/>
              </w:rPr>
              <w:t xml:space="preserve">—</w:t>
            </w:r>
          </w:p>
        </w:tc>
      </w:tr>
    </w:tbl>
    <w:p>
      <w:r>
        <w:br w:type="page"/>
      </w:r>
    </w:p>
    <w:p>
      <w:pPr>
        <w:pStyle w:val="Heading1"/>
      </w:pPr>
      <w:r>
        <w:t xml:space="preserve">Appendix B. AI-Use Log (Template)</w:t>
      </w:r>
    </w:p>
    <w:p>
      <w:pPr>
        <w:spacing w:after="140" w:before="0"/>
      </w:pPr>
      <w:r>
        <w:rPr>
          <w:b w:val="false"/>
          <w:bCs w:val="false"/>
          <w:i w:val="false"/>
          <w:iCs w:val="false"/>
        </w:rPr>
        <w:t xml:space="preserve">Use this format for Restricted-tier uses. Each program may keep its own log, or the organization may keep a single central log; either approach is acceptable as long as Restricted uses are documented.</w:t>
      </w:r>
    </w:p>
    <w:p>
      <w:pPr>
        <w:pStyle w:val="ListParagraph"/>
        <w:numPr>
          <w:ilvl w:val="0"/>
          <w:numId w:val="2"/>
        </w:numPr>
        <w:spacing w:after="80"/>
      </w:pPr>
      <w:r>
        <w:t xml:space="preserve">Date of use</w:t>
      </w:r>
    </w:p>
    <w:p>
      <w:pPr>
        <w:pStyle w:val="ListParagraph"/>
        <w:numPr>
          <w:ilvl w:val="0"/>
          <w:numId w:val="2"/>
        </w:numPr>
        <w:spacing w:after="80"/>
      </w:pPr>
      <w:r>
        <w:t xml:space="preserve">Staff member</w:t>
      </w:r>
    </w:p>
    <w:p>
      <w:pPr>
        <w:pStyle w:val="ListParagraph"/>
        <w:numPr>
          <w:ilvl w:val="0"/>
          <w:numId w:val="2"/>
        </w:numPr>
        <w:spacing w:after="80"/>
      </w:pPr>
      <w:r>
        <w:t xml:space="preserve">Tool used</w:t>
      </w:r>
    </w:p>
    <w:p>
      <w:pPr>
        <w:pStyle w:val="ListParagraph"/>
        <w:numPr>
          <w:ilvl w:val="0"/>
          <w:numId w:val="2"/>
        </w:numPr>
        <w:spacing w:after="80"/>
      </w:pPr>
      <w:r>
        <w:t xml:space="preserve">Purpose / use description</w:t>
      </w:r>
    </w:p>
    <w:p>
      <w:pPr>
        <w:pStyle w:val="ListParagraph"/>
        <w:numPr>
          <w:ilvl w:val="0"/>
          <w:numId w:val="2"/>
        </w:numPr>
        <w:spacing w:after="80"/>
      </w:pPr>
      <w:r>
        <w:t xml:space="preserve">Data class involved</w:t>
      </w:r>
    </w:p>
    <w:p>
      <w:pPr>
        <w:pStyle w:val="ListParagraph"/>
        <w:numPr>
          <w:ilvl w:val="0"/>
          <w:numId w:val="2"/>
        </w:numPr>
        <w:spacing w:after="80"/>
      </w:pPr>
      <w:r>
        <w:t xml:space="preserve">Reviewer (for human-review requirement)</w:t>
      </w:r>
    </w:p>
    <w:p>
      <w:pPr>
        <w:pStyle w:val="ListParagraph"/>
        <w:numPr>
          <w:ilvl w:val="0"/>
          <w:numId w:val="2"/>
        </w:numPr>
        <w:spacing w:after="80"/>
      </w:pPr>
      <w:r>
        <w:t xml:space="preserve">Outcome / where output was used</w:t>
      </w:r>
    </w:p>
    <w:p>
      <w:r>
        <w:br w:type="page"/>
      </w:r>
    </w:p>
    <w:p>
      <w:pPr>
        <w:pStyle w:val="Heading1"/>
      </w:pPr>
      <w:r>
        <w:t xml:space="preserve">Appendix C. Federal Grant Considerations</w:t>
      </w:r>
    </w:p>
    <w:p>
      <w:pPr>
        <w:spacing w:after="140" w:before="0"/>
      </w:pPr>
      <w:r>
        <w:rPr>
          <w:b w:val="false"/>
          <w:bCs w:val="false"/>
          <w:i w:val="false"/>
          <w:iCs w:val="false"/>
        </w:rPr>
        <w:t xml:space="preserve">For programs operating under federal awards, the following considerations apply in addition to the general handbook:</w:t>
      </w:r>
    </w:p>
    <w:p>
      <w:pPr>
        <w:pStyle w:val="Heading3"/>
      </w:pPr>
      <w:r>
        <w:t xml:space="preserve">Uniform Guidance (2 CFR 200)</w:t>
      </w:r>
    </w:p>
    <w:p>
      <w:pPr>
        <w:pStyle w:val="ListParagraph"/>
        <w:numPr>
          <w:ilvl w:val="0"/>
          <w:numId w:val="2"/>
        </w:numPr>
        <w:spacing w:after="80"/>
      </w:pPr>
      <w:r>
        <w:t xml:space="preserve">AI tools used in administering federal awards are subject to the allowability, reasonableness, and consistency standards of 2 CFR 200.403–200.405. Costs charged to a federal award (e.g., enterprise AI subscriptions used for grant-funded work) must be documented and allocable.</w:t>
      </w:r>
    </w:p>
    <w:p>
      <w:pPr>
        <w:pStyle w:val="ListParagraph"/>
        <w:numPr>
          <w:ilvl w:val="0"/>
          <w:numId w:val="2"/>
        </w:numPr>
        <w:spacing w:after="80"/>
      </w:pPr>
      <w:r>
        <w:t xml:space="preserve">Records produced or relied upon under a federal award are subject to record retention requirements (typically three years after submission of the final expenditure report, or longer per program terms).</w:t>
      </w:r>
    </w:p>
    <w:p>
      <w:pPr>
        <w:pStyle w:val="ListParagraph"/>
        <w:numPr>
          <w:ilvl w:val="0"/>
          <w:numId w:val="2"/>
        </w:numPr>
        <w:spacing w:after="80"/>
      </w:pPr>
      <w:r>
        <w:t xml:space="preserve">Subrecipient monitoring obligations (2 CFR 200.331–200.333) extend to subrecipients' AI practices where AI is used in delivering the funded program.</w:t>
      </w:r>
    </w:p>
    <w:p>
      <w:pPr>
        <w:pStyle w:val="Heading3"/>
      </w:pPr>
      <w:r>
        <w:t xml:space="preserve">Specific risks for federally funded programs</w:t>
      </w:r>
    </w:p>
    <w:p>
      <w:pPr>
        <w:pStyle w:val="ListParagraph"/>
        <w:numPr>
          <w:ilvl w:val="0"/>
          <w:numId w:val="2"/>
        </w:numPr>
        <w:spacing w:after="80"/>
      </w:pPr>
      <w:r>
        <w:t xml:space="preserve">Eligibility and benefit determinations may not be made by automated AI decision-making without human review, and equitable-treatment considerations may be present under program-specific civil-rights requirements.</w:t>
      </w:r>
    </w:p>
    <w:p>
      <w:pPr>
        <w:pStyle w:val="ListParagraph"/>
        <w:numPr>
          <w:ilvl w:val="0"/>
          <w:numId w:val="2"/>
        </w:numPr>
        <w:spacing w:after="80"/>
      </w:pPr>
      <w:r>
        <w:t xml:space="preserve">Performance reporting must distinguish between AI-assisted and human-produced outputs where this is material to the funder's evaluation.</w:t>
      </w:r>
    </w:p>
    <w:p>
      <w:pPr>
        <w:pStyle w:val="ListParagraph"/>
        <w:numPr>
          <w:ilvl w:val="0"/>
          <w:numId w:val="2"/>
        </w:numPr>
        <w:spacing w:after="80"/>
      </w:pPr>
      <w:r>
        <w:t xml:space="preserve">Cybersecurity and data-handling standards in program-specific funding opportunities (e.g., WIOA, ESSA, Head Start, HRSA programs) may impose stricter constraints than this handbook; the stricter requirement governs.</w:t>
      </w:r>
    </w:p>
    <w:p>
      <w:pPr>
        <w:spacing w:after="140" w:before="0"/>
      </w:pPr>
      <w:r>
        <w:rPr>
          <w:i/>
          <w:iCs/>
        </w:rPr>
        <w:t xml:space="preserve">Programs should consult their grants officer for program-specific guidance and document any AI-related interpretations in writing.</w:t>
      </w:r>
    </w:p>
    <w:p>
      <w:r>
        <w:br w:type="page"/>
      </w:r>
    </w:p>
    <w:p>
      <w:pPr>
        <w:pStyle w:val="Heading1"/>
      </w:pPr>
      <w:r>
        <w:t xml:space="preserve">Appendix D. Example Use Cases by Tier</w:t>
      </w:r>
    </w:p>
    <w:p>
      <w:pPr>
        <w:pStyle w:val="Heading2"/>
      </w:pPr>
      <w:r>
        <w:t xml:space="preserve">Permitted (examples)</w:t>
      </w:r>
    </w:p>
    <w:p>
      <w:pPr>
        <w:pStyle w:val="ListParagraph"/>
        <w:numPr>
          <w:ilvl w:val="0"/>
          <w:numId w:val="2"/>
        </w:numPr>
        <w:spacing w:after="80"/>
      </w:pPr>
      <w:r>
        <w:t xml:space="preserve">Drafting a public press release announcing a community event.</w:t>
      </w:r>
    </w:p>
    <w:p>
      <w:pPr>
        <w:pStyle w:val="ListParagraph"/>
        <w:numPr>
          <w:ilvl w:val="0"/>
          <w:numId w:val="2"/>
        </w:numPr>
        <w:spacing w:after="80"/>
      </w:pPr>
      <w:r>
        <w:t xml:space="preserve">Brainstorming program-name ideas for a planned new initiative.</w:t>
      </w:r>
    </w:p>
    <w:p>
      <w:pPr>
        <w:pStyle w:val="ListParagraph"/>
        <w:numPr>
          <w:ilvl w:val="0"/>
          <w:numId w:val="2"/>
        </w:numPr>
        <w:spacing w:after="80"/>
      </w:pPr>
      <w:r>
        <w:t xml:space="preserve">Rewriting a public job posting for clarity.</w:t>
      </w:r>
    </w:p>
    <w:p>
      <w:pPr>
        <w:pStyle w:val="ListParagraph"/>
        <w:numPr>
          <w:ilvl w:val="0"/>
          <w:numId w:val="2"/>
        </w:numPr>
        <w:spacing w:after="80"/>
      </w:pPr>
      <w:r>
        <w:t xml:space="preserve">Summarizing publicly available research articles for staff reference.</w:t>
      </w:r>
    </w:p>
    <w:p>
      <w:pPr>
        <w:pStyle w:val="Heading2"/>
      </w:pPr>
      <w:r>
        <w:t xml:space="preserve">Restricted (examples)</w:t>
      </w:r>
    </w:p>
    <w:p>
      <w:pPr>
        <w:pStyle w:val="ListParagraph"/>
        <w:numPr>
          <w:ilvl w:val="0"/>
          <w:numId w:val="2"/>
        </w:numPr>
        <w:spacing w:after="80"/>
      </w:pPr>
      <w:r>
        <w:t xml:space="preserve">Drafting a grant narrative using internal program data (without participant PII).</w:t>
      </w:r>
    </w:p>
    <w:p>
      <w:pPr>
        <w:pStyle w:val="ListParagraph"/>
        <w:numPr>
          <w:ilvl w:val="0"/>
          <w:numId w:val="2"/>
        </w:numPr>
        <w:spacing w:after="80"/>
      </w:pPr>
      <w:r>
        <w:t xml:space="preserve">Summarizing internal meeting notes that do not contain participant identifiers.</w:t>
      </w:r>
    </w:p>
    <w:p>
      <w:pPr>
        <w:pStyle w:val="ListParagraph"/>
        <w:numPr>
          <w:ilvl w:val="0"/>
          <w:numId w:val="2"/>
        </w:numPr>
        <w:spacing w:after="80"/>
      </w:pPr>
      <w:r>
        <w:t xml:space="preserve">Drafting template language for case-manager outreach (human-edited before use).</w:t>
      </w:r>
    </w:p>
    <w:p>
      <w:pPr>
        <w:pStyle w:val="ListParagraph"/>
        <w:numPr>
          <w:ilvl w:val="0"/>
          <w:numId w:val="2"/>
        </w:numPr>
        <w:spacing w:after="80"/>
      </w:pPr>
      <w:r>
        <w:t xml:space="preserve">Analyzing anonymized program-outcome aggregates with an enterprise tool approved for internal data.</w:t>
      </w:r>
    </w:p>
    <w:p>
      <w:pPr>
        <w:pStyle w:val="Heading2"/>
      </w:pPr>
      <w:r>
        <w:t xml:space="preserve">Prohibited (examples)</w:t>
      </w:r>
    </w:p>
    <w:p>
      <w:pPr>
        <w:pStyle w:val="ListParagraph"/>
        <w:numPr>
          <w:ilvl w:val="0"/>
          <w:numId w:val="2"/>
        </w:numPr>
        <w:spacing w:after="80"/>
      </w:pPr>
      <w:r>
        <w:t xml:space="preserve">Pasting a participant's intake form into a free public chatbot to summarize.</w:t>
      </w:r>
    </w:p>
    <w:p>
      <w:pPr>
        <w:pStyle w:val="ListParagraph"/>
        <w:numPr>
          <w:ilvl w:val="0"/>
          <w:numId w:val="2"/>
        </w:numPr>
        <w:spacing w:after="80"/>
      </w:pPr>
      <w:r>
        <w:t xml:space="preserve">Using AI to determine whether a participant meets eligibility for a benefit without staff review.</w:t>
      </w:r>
    </w:p>
    <w:p>
      <w:pPr>
        <w:pStyle w:val="ListParagraph"/>
        <w:numPr>
          <w:ilvl w:val="0"/>
          <w:numId w:val="2"/>
        </w:numPr>
        <w:spacing w:after="80"/>
      </w:pPr>
      <w:r>
        <w:t xml:space="preserve">Generating final case-note text and saving it to the participant record unedited.</w:t>
      </w:r>
    </w:p>
    <w:p>
      <w:pPr>
        <w:pStyle w:val="ListParagraph"/>
        <w:numPr>
          <w:ilvl w:val="0"/>
          <w:numId w:val="2"/>
        </w:numPr>
        <w:spacing w:after="80"/>
      </w:pPr>
      <w:r>
        <w:t xml:space="preserve">Submitting AI-drafted funder-evaluation responses to a funder as if they were authored by staff.</w:t>
      </w:r>
    </w:p>
    <w:p>
      <w:r>
        <w:br w:type="page"/>
      </w:r>
    </w:p>
    <w:p>
      <w:pPr>
        <w:pStyle w:val="Heading1"/>
      </w:pPr>
      <w:r>
        <w:t xml:space="preserve">About This Template</w:t>
      </w:r>
    </w:p>
    <w:p>
      <w:pPr>
        <w:spacing w:after="140" w:before="0"/>
      </w:pPr>
      <w:r>
        <w:rPr>
          <w:i/>
          <w:iCs/>
        </w:rPr>
        <w:t xml:space="preserve">This template is published by Strategical AI, a free education project for nonprofits and workforce programs. It is offered without warranty, and adoption does not create an attorney-client or advisory relationship. Organizations should review and adapt this template to their specific compliance environment, funder requirements, state and local law, and program design.</w:t>
      </w:r>
    </w:p>
    <w:p>
      <w:pPr>
        <w:spacing w:after="140" w:before="0"/>
      </w:pPr>
      <w:r>
        <w:rPr>
          <w:i/>
          <w:iCs/>
        </w:rPr>
        <w:t xml:space="preserve">For paid policy review, custom drafting, or implementation support, see </w:t>
      </w:r>
      <w:hyperlink w:history="1" r:id="rIds4pjfc65opvkx4ts2dtos">
        <w:r>
          <w:rPr>
            <w:i/>
            <w:iCs/>
            <w:color w:val="2D5F4F"/>
            <w:u w:val="single"/>
          </w:rPr>
          <w:t xml:space="preserve">strategicalai.net</w:t>
        </w:r>
      </w:hyperlink>
      <w:r>
        <w:rPr>
          <w:i/>
          <w:iCs/>
        </w:rPr>
        <w:t xml:space="preserve">.</w:t>
      </w:r>
    </w:p>
    <w:p>
      <w:pPr>
        <w:spacing w:after="140" w:before="0"/>
      </w:pPr>
      <w:r>
        <w:rPr>
          <w:i/>
          <w:iCs/>
        </w:rPr>
        <w:t xml:space="preserve">Updates and additional resources: </w:t>
      </w:r>
      <w:hyperlink w:history="1" r:id="rId_3e9v0kfnpe-jti0nvi4g">
        <w:r>
          <w:rPr>
            <w:i/>
            <w:iCs/>
            <w:color w:val="2D5F4F"/>
            <w:u w:val="single"/>
          </w:rPr>
          <w:t xml:space="preserve">strategicalai.org/resources</w:t>
        </w:r>
      </w:hyperlink>
      <w:r>
        <w:rPr>
          <w:i/>
          <w:iCs/>
        </w:rPr>
        <w:t xml:space="preserve">.</w:t>
      </w:r>
    </w:p>
    <w:sectPr>
      <w:headerReference w:type="default" r:id="rId7"/>
      <w:footerReference w:type="default" r:id="rId8"/>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888888"/>
        <w:sz w:val="16"/>
        <w:szCs w:val="16"/>
      </w:rPr>
      <w:t xml:space="preserve">Free template from </w:t>
    </w:r>
    <w:hyperlink w:history="1" r:id="rIdrfp4kw0zdtv2-jcganpan">
      <w:r>
        <w:rPr>
          <w:color w:val="2D5F4F"/>
          <w:sz w:val="16"/>
          <w:szCs w:val="16"/>
          <w:u w:val="single"/>
        </w:rPr>
        <w:t xml:space="preserve">strategicalai.org</w:t>
      </w:r>
    </w:hyperlink>
    <w:r>
      <w:rPr>
        <w:color w:val="888888"/>
        <w:sz w:val="16"/>
        <w:szCs w:val="16"/>
      </w:rPr>
      <w:t xml:space="preserve">  ·  Editable. Attribution appreciated, not required.  ·  Page </w:t>
    </w:r>
    <w:r>
      <w:rPr>
        <w:color w:val="888888"/>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color w:val="888888"/>
        <w:sz w:val="16"/>
        <w:szCs w:val="16"/>
      </w:rPr>
      <w:t xml:space="preserve">Strategical AI — Nonprofit AI Use Policy: Staff Handbook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40"/>
      </w:pPr>
    </w:lvl>
  </w:abstractNum>
  <w:abstractNum w:abstractNumId="3" w15:restartNumberingAfterBreak="0">
    <w:multiLevelType w:val="hybridMultilevel"/>
    <w:lvl w:ilvl="0" w15:tentative="1">
      <w:start w:val="1"/>
      <w:numFmt w:val="decimal"/>
      <w:lvlText w:val="%1."/>
      <w:lvlJc w:val="left"/>
      <w:pPr>
        <w:ind w:left="360" w:hanging="24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1A1F2E"/>
      <w:sz w:val="36"/>
      <w:szCs w:val="36"/>
    </w:rPr>
  </w:style>
  <w:style w:type="paragraph" w:styleId="Heading2">
    <w:name w:val="Heading 2"/>
    <w:basedOn w:val="Normal"/>
    <w:next w:val="Normal"/>
    <w:qFormat/>
    <w:pPr>
      <w:spacing w:after="140" w:before="280"/>
      <w:outlineLvl w:val="1"/>
    </w:pPr>
    <w:rPr>
      <w:rFonts w:ascii="Arial" w:cs="Arial" w:eastAsia="Arial" w:hAnsi="Arial"/>
      <w:b/>
      <w:bCs/>
      <w:color w:val="2D5F4F"/>
      <w:sz w:val="28"/>
      <w:szCs w:val="28"/>
    </w:rPr>
  </w:style>
  <w:style w:type="paragraph" w:styleId="Heading3">
    <w:name w:val="Heading 3"/>
    <w:basedOn w:val="Normal"/>
    <w:next w:val="Normal"/>
    <w:qFormat/>
    <w:pPr>
      <w:spacing w:after="100" w:before="200"/>
      <w:outlineLvl w:val="2"/>
    </w:pPr>
    <w:rPr>
      <w:rFonts w:ascii="Arial" w:cs="Arial" w:eastAsia="Arial" w:hAnsi="Arial"/>
      <w:b/>
      <w:bCs/>
      <w:color w:val="1A1F2E"/>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s4pjfc65opvkx4ts2dtos" Type="http://schemas.openxmlformats.org/officeDocument/2006/relationships/hyperlink" Target="https://strategicalai.net" TargetMode="External"/><Relationship Id="rId_3e9v0kfnpe-jti0nvi4g" Type="http://schemas.openxmlformats.org/officeDocument/2006/relationships/hyperlink" Target="https://strategicalai.org/resources" TargetMode="External"/><Relationship Id="rId11"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Relationship Id="rIdrfp4kw0zdtv2-jcganpan" Type="http://schemas.openxmlformats.org/officeDocument/2006/relationships/hyperlink" Target="https://strategicalai.org" TargetMode="External"/></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Nonprofit AI Use Policy: Staff Handbook</dc:title>
  <dc:creator>Strategical AI</dc:creator>
  <dc:description>Operational AI Use Policy handbook for nonprofits and workforce programs.</dc:description>
  <cp:lastModifiedBy>Un-named</cp:lastModifiedBy>
  <cp:revision>1</cp:revision>
  <dcterms:created xsi:type="dcterms:W3CDTF">2026-05-16T04:10:48.324Z</dcterms:created>
  <dcterms:modified xsi:type="dcterms:W3CDTF">2026-05-16T04:10:48.324Z</dcterms:modified>
</cp:coreProperties>
</file>

<file path=docProps/custom.xml><?xml version="1.0" encoding="utf-8"?>
<Properties xmlns="http://schemas.openxmlformats.org/officeDocument/2006/custom-properties" xmlns:vt="http://schemas.openxmlformats.org/officeDocument/2006/docPropsVTypes"/>
</file>